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51" w:rsidRPr="009A7003" w:rsidRDefault="001413EE" w:rsidP="009A7003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9A7003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5B2B51" w:rsidRPr="009A7003" w:rsidRDefault="005B2B51" w:rsidP="009A7003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5B2B51" w:rsidRPr="009A7003" w:rsidRDefault="001413EE" w:rsidP="00D369A7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9A7003"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9A7003" w:rsidRPr="009A7003">
        <w:rPr>
          <w:rFonts w:ascii="Arial Narrow" w:eastAsia="Arial Narrow" w:hAnsi="Arial Narrow" w:cs="Arial Narrow"/>
          <w:b/>
          <w:sz w:val="24"/>
          <w:szCs w:val="24"/>
        </w:rPr>
        <w:t>Religión</w:t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ab/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ab/>
        <w:t xml:space="preserve">Grado: </w:t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ab/>
      </w:r>
      <w:r w:rsidR="00D369A7">
        <w:rPr>
          <w:rFonts w:ascii="Arial Narrow" w:eastAsia="Arial Narrow" w:hAnsi="Arial Narrow" w:cs="Arial Narrow"/>
          <w:b/>
          <w:sz w:val="24"/>
          <w:szCs w:val="24"/>
        </w:rPr>
        <w:t>8°</w:t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AE5154" w:rsidRPr="009A7003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ab/>
        <w:t xml:space="preserve">Periodo: </w:t>
      </w:r>
      <w:r w:rsidR="0090680F">
        <w:rPr>
          <w:rFonts w:ascii="Arial Narrow" w:eastAsia="Arial Narrow" w:hAnsi="Arial Narrow" w:cs="Arial Narrow"/>
          <w:b/>
          <w:sz w:val="24"/>
          <w:szCs w:val="24"/>
        </w:rPr>
        <w:t>V</w:t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Pr="009A7003">
        <w:rPr>
          <w:rFonts w:ascii="Arial Narrow" w:eastAsia="Arial Narrow" w:hAnsi="Arial Narrow" w:cs="Arial Narrow"/>
          <w:b/>
          <w:sz w:val="24"/>
          <w:szCs w:val="24"/>
        </w:rPr>
        <w:tab/>
        <w:t xml:space="preserve">             Año: 2019</w:t>
      </w:r>
    </w:p>
    <w:p w:rsidR="005B2B51" w:rsidRPr="009A7003" w:rsidRDefault="005B2B51" w:rsidP="009A7003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D369A7" w:rsidRPr="00636DAC" w:rsidRDefault="00D369A7" w:rsidP="00D369A7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jdgxs" w:colFirst="0" w:colLast="0"/>
      <w:bookmarkEnd w:id="0"/>
      <w:r w:rsidRPr="00636DAC">
        <w:rPr>
          <w:rFonts w:ascii="Arial Narrow" w:hAnsi="Arial Narrow"/>
          <w:b/>
          <w:sz w:val="24"/>
          <w:szCs w:val="24"/>
        </w:rPr>
        <w:t>RECOMENDACIONES</w:t>
      </w:r>
    </w:p>
    <w:p w:rsidR="00D369A7" w:rsidRDefault="00D369A7" w:rsidP="00D369A7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r w:rsidRPr="00636DAC">
        <w:rPr>
          <w:rFonts w:ascii="Arial Narrow" w:hAnsi="Arial Narrow"/>
          <w:i/>
          <w:sz w:val="24"/>
          <w:szCs w:val="24"/>
        </w:rPr>
        <w:t xml:space="preserve">Cada periodo el docente formula una pregunta </w:t>
      </w:r>
      <w:proofErr w:type="spellStart"/>
      <w:r w:rsidRPr="00636DAC">
        <w:rPr>
          <w:rFonts w:ascii="Arial Narrow" w:hAnsi="Arial Narrow"/>
          <w:i/>
          <w:sz w:val="24"/>
          <w:szCs w:val="24"/>
        </w:rPr>
        <w:t>problematizadora</w:t>
      </w:r>
      <w:proofErr w:type="spellEnd"/>
      <w:r w:rsidRPr="00636DAC">
        <w:rPr>
          <w:rFonts w:ascii="Arial Narrow" w:hAnsi="Arial Narrow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</w:t>
      </w:r>
      <w:r>
        <w:rPr>
          <w:rFonts w:ascii="Arial Narrow" w:hAnsi="Arial Narrow"/>
          <w:i/>
          <w:sz w:val="24"/>
          <w:szCs w:val="24"/>
        </w:rPr>
        <w:t>el día 19 de noviembre  del 2019</w:t>
      </w:r>
      <w:r w:rsidRPr="00636DAC">
        <w:rPr>
          <w:rFonts w:ascii="Arial Narrow" w:hAnsi="Arial Narrow"/>
          <w:i/>
          <w:sz w:val="24"/>
          <w:szCs w:val="24"/>
        </w:rPr>
        <w:t>. El estudiante debe consultar los referentes bibliográficos citados por el docente en cada asignatura</w:t>
      </w:r>
      <w:r>
        <w:rPr>
          <w:rFonts w:ascii="Arial Narrow" w:hAnsi="Arial Narrow"/>
          <w:i/>
          <w:sz w:val="24"/>
          <w:szCs w:val="24"/>
        </w:rPr>
        <w:t xml:space="preserve"> y entregar los tres productos del periodo por medio de trabajos escritos empleando normas básicas que den cuenta de las competencias adquiridas. </w:t>
      </w:r>
    </w:p>
    <w:p w:rsidR="005B2B51" w:rsidRPr="00D369A7" w:rsidRDefault="005B2B51" w:rsidP="00D369A7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b/>
          <w:i/>
          <w:sz w:val="24"/>
          <w:szCs w:val="24"/>
        </w:rPr>
      </w:pPr>
    </w:p>
    <w:p w:rsidR="005B2B51" w:rsidRPr="00D369A7" w:rsidRDefault="001413EE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369A7">
        <w:rPr>
          <w:rFonts w:ascii="Arial Narrow" w:eastAsia="Arial Narrow" w:hAnsi="Arial Narrow" w:cs="Arial Narrow"/>
          <w:b/>
          <w:sz w:val="24"/>
          <w:szCs w:val="24"/>
        </w:rPr>
        <w:t xml:space="preserve">1. Pregunta </w:t>
      </w:r>
      <w:proofErr w:type="spellStart"/>
      <w:r w:rsidRPr="00D369A7">
        <w:rPr>
          <w:rFonts w:ascii="Arial Narrow" w:eastAsia="Arial Narrow" w:hAnsi="Arial Narrow" w:cs="Arial Narrow"/>
          <w:b/>
          <w:sz w:val="24"/>
          <w:szCs w:val="24"/>
        </w:rPr>
        <w:t>problematizadora</w:t>
      </w:r>
      <w:proofErr w:type="spellEnd"/>
      <w:r w:rsidRPr="00D369A7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ED4F2E" w:rsidRPr="00D369A7" w:rsidRDefault="009A7003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¿Qué diferencias se pueden encontrar entre religión y espiritualidad?</w:t>
      </w:r>
    </w:p>
    <w:p w:rsidR="009A7003" w:rsidRPr="00D369A7" w:rsidRDefault="009A7003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</w:p>
    <w:p w:rsidR="005B2B51" w:rsidRPr="00D369A7" w:rsidRDefault="001413EE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369A7">
        <w:rPr>
          <w:rFonts w:ascii="Arial Narrow" w:eastAsia="Arial Narrow" w:hAnsi="Arial Narrow" w:cs="Arial Narrow"/>
          <w:b/>
          <w:sz w:val="24"/>
          <w:szCs w:val="24"/>
        </w:rPr>
        <w:t>2. Metas de aprendizaje</w:t>
      </w:r>
    </w:p>
    <w:p w:rsidR="00ED4F2E" w:rsidRPr="00D369A7" w:rsidRDefault="009A7003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Al finalizar este periodo el estudiante comprenderá las diferencias entre las religiones y la espiritualidad, valorando la existencia del espíritu y la religión como caminos guías para cultivar la espiritualidad.</w:t>
      </w:r>
    </w:p>
    <w:p w:rsidR="009A7003" w:rsidRPr="00D369A7" w:rsidRDefault="009A7003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  <w:highlight w:val="white"/>
        </w:rPr>
      </w:pPr>
    </w:p>
    <w:p w:rsidR="005B2B51" w:rsidRPr="00D369A7" w:rsidRDefault="001413EE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369A7">
        <w:rPr>
          <w:rFonts w:ascii="Arial Narrow" w:eastAsia="Arial Narrow" w:hAnsi="Arial Narrow" w:cs="Arial Narrow"/>
          <w:b/>
          <w:sz w:val="24"/>
          <w:szCs w:val="24"/>
        </w:rPr>
        <w:t>3. Productos del periodo</w:t>
      </w:r>
    </w:p>
    <w:p w:rsidR="009A7003" w:rsidRPr="00D369A7" w:rsidRDefault="009A7003" w:rsidP="00D369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Fundamentación teológica de la espiritualidad</w:t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</w:p>
    <w:p w:rsidR="009A7003" w:rsidRPr="00D369A7" w:rsidRDefault="009A7003" w:rsidP="00D369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Características que componen a la religión</w:t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</w:p>
    <w:p w:rsidR="009A7003" w:rsidRPr="00D369A7" w:rsidRDefault="009A7003" w:rsidP="00D369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Características que componen a la espiritualidad</w:t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</w:p>
    <w:p w:rsidR="009A7003" w:rsidRPr="00D369A7" w:rsidRDefault="009A7003" w:rsidP="00D369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Diferencias entre religión y espiritualidad</w:t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</w:p>
    <w:p w:rsidR="009A7003" w:rsidRPr="00D369A7" w:rsidRDefault="009A7003" w:rsidP="00D369A7">
      <w:pPr>
        <w:pStyle w:val="Prrafodelist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>Espiritualidad en oriente y en occidente</w:t>
      </w:r>
    </w:p>
    <w:p w:rsidR="009A7003" w:rsidRPr="00D369A7" w:rsidRDefault="009A7003" w:rsidP="00D369A7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bookmarkStart w:id="1" w:name="_GoBack"/>
      <w:bookmarkEnd w:id="1"/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  <w:r w:rsidRPr="00D369A7">
        <w:rPr>
          <w:rFonts w:ascii="Arial Narrow" w:hAnsi="Arial Narrow"/>
          <w:color w:val="000000"/>
          <w:sz w:val="24"/>
          <w:szCs w:val="24"/>
          <w:shd w:val="clear" w:color="auto" w:fill="FFFFFF"/>
        </w:rPr>
        <w:tab/>
      </w:r>
    </w:p>
    <w:p w:rsidR="005B2B51" w:rsidRPr="00D369A7" w:rsidRDefault="001413EE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D369A7">
        <w:rPr>
          <w:rFonts w:ascii="Arial Narrow" w:eastAsia="Arial Narrow" w:hAnsi="Arial Narrow" w:cs="Arial Narrow"/>
          <w:b/>
          <w:sz w:val="24"/>
          <w:szCs w:val="24"/>
        </w:rPr>
        <w:t xml:space="preserve">4. Referentes bibliográficos </w:t>
      </w:r>
    </w:p>
    <w:p w:rsidR="00ED4F2E" w:rsidRPr="00D369A7" w:rsidRDefault="002C1F3B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hyperlink r:id="rId8" w:history="1">
        <w:r w:rsidR="009A7003" w:rsidRPr="00D369A7">
          <w:rPr>
            <w:rStyle w:val="Hipervnculo"/>
            <w:rFonts w:ascii="Arial Narrow" w:hAnsi="Arial Narrow"/>
            <w:sz w:val="24"/>
            <w:szCs w:val="24"/>
          </w:rPr>
          <w:t>https://www.youtube.com/watch?v=t2R1A33MwHY</w:t>
        </w:r>
      </w:hyperlink>
    </w:p>
    <w:p w:rsidR="009A7003" w:rsidRPr="00D369A7" w:rsidRDefault="002C1F3B" w:rsidP="00D369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9" w:history="1">
        <w:r w:rsidR="009A7003" w:rsidRPr="00D369A7">
          <w:rPr>
            <w:rStyle w:val="Hipervnculo"/>
            <w:rFonts w:ascii="Arial Narrow" w:hAnsi="Arial Narrow"/>
            <w:sz w:val="24"/>
            <w:szCs w:val="24"/>
          </w:rPr>
          <w:t>https://www.youtube.com/watch?v=lOXVfPgLlw8</w:t>
        </w:r>
      </w:hyperlink>
    </w:p>
    <w:sectPr w:rsidR="009A7003" w:rsidRPr="00D369A7">
      <w:headerReference w:type="default" r:id="rId10"/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F3B" w:rsidRDefault="002C1F3B">
      <w:pPr>
        <w:spacing w:after="0" w:line="240" w:lineRule="auto"/>
      </w:pPr>
      <w:r>
        <w:separator/>
      </w:r>
    </w:p>
  </w:endnote>
  <w:endnote w:type="continuationSeparator" w:id="0">
    <w:p w:rsidR="002C1F3B" w:rsidRDefault="002C1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F3B" w:rsidRDefault="002C1F3B">
      <w:pPr>
        <w:spacing w:after="0" w:line="240" w:lineRule="auto"/>
      </w:pPr>
      <w:r>
        <w:separator/>
      </w:r>
    </w:p>
  </w:footnote>
  <w:footnote w:type="continuationSeparator" w:id="0">
    <w:p w:rsidR="002C1F3B" w:rsidRDefault="002C1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B51" w:rsidRDefault="001413E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5281683</wp:posOffset>
          </wp:positionH>
          <wp:positionV relativeFrom="paragraph">
            <wp:posOffset>-328178</wp:posOffset>
          </wp:positionV>
          <wp:extent cx="1321593" cy="739977"/>
          <wp:effectExtent l="0" t="0" r="0" b="0"/>
          <wp:wrapSquare wrapText="bothSides" distT="0" distB="0" distL="0" distR="0"/>
          <wp:docPr id="1" name="image1.jpg" descr="Logo nuevo-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nuevo-colo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1593" cy="7399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A1C43"/>
    <w:multiLevelType w:val="hybridMultilevel"/>
    <w:tmpl w:val="C574A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2B51"/>
    <w:rsid w:val="001413EE"/>
    <w:rsid w:val="002C1F3B"/>
    <w:rsid w:val="005B2B51"/>
    <w:rsid w:val="008C455F"/>
    <w:rsid w:val="0090680F"/>
    <w:rsid w:val="009A7003"/>
    <w:rsid w:val="00AE5154"/>
    <w:rsid w:val="00CE7B3F"/>
    <w:rsid w:val="00D369A7"/>
    <w:rsid w:val="00ED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AE5154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A7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AE5154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A7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21009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06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2R1A33MwH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OXVfPgLlw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Bilingue</dc:creator>
  <cp:lastModifiedBy>Jefes de Area</cp:lastModifiedBy>
  <cp:revision>4</cp:revision>
  <dcterms:created xsi:type="dcterms:W3CDTF">2019-10-22T18:12:00Z</dcterms:created>
  <dcterms:modified xsi:type="dcterms:W3CDTF">2019-11-08T21:00:00Z</dcterms:modified>
</cp:coreProperties>
</file>